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01" w:rsidRDefault="00AC4801" w:rsidP="00AC4801">
      <w:pPr>
        <w:rPr>
          <w:rFonts w:ascii="Calibri" w:eastAsia="Arial Unicode MS" w:hAnsi="Calibri" w:cs="Arial Unicode MS"/>
          <w:b/>
          <w:sz w:val="22"/>
          <w:szCs w:val="22"/>
          <w:u w:val="single"/>
        </w:rPr>
      </w:pPr>
      <w:r w:rsidRPr="00CA6232">
        <w:rPr>
          <w:rFonts w:ascii="Verdana" w:eastAsia="Arial Unicode MS" w:hAnsi="Verdana" w:cs="Arial Unicode MS"/>
          <w:b/>
          <w:sz w:val="22"/>
          <w:szCs w:val="22"/>
          <w:u w:val="single"/>
        </w:rPr>
        <w:t xml:space="preserve">Pressemitteilung Bionorica SE </w:t>
      </w:r>
      <w:r w:rsidRPr="00CA6232">
        <w:rPr>
          <w:rFonts w:ascii="Verdana" w:eastAsia="Arial Unicode MS" w:hAnsi="Verdana" w:cs="Arial Unicode MS"/>
          <w:b/>
          <w:sz w:val="22"/>
          <w:szCs w:val="22"/>
        </w:rPr>
        <w:tab/>
      </w:r>
      <w:r w:rsidRPr="00CA6232">
        <w:rPr>
          <w:rFonts w:ascii="Verdana" w:eastAsia="Arial Unicode MS" w:hAnsi="Verdana" w:cs="Arial Unicode MS"/>
          <w:b/>
          <w:sz w:val="22"/>
          <w:szCs w:val="22"/>
        </w:rPr>
        <w:tab/>
      </w:r>
      <w:r w:rsidRPr="00CA6232">
        <w:rPr>
          <w:rFonts w:ascii="Verdana" w:eastAsia="Arial Unicode MS" w:hAnsi="Verdana" w:cs="Arial Unicode MS"/>
          <w:b/>
          <w:sz w:val="22"/>
          <w:szCs w:val="22"/>
        </w:rPr>
        <w:tab/>
      </w:r>
    </w:p>
    <w:p w:rsidR="00AC4801" w:rsidRDefault="00AC4801" w:rsidP="00AC4801">
      <w:pPr>
        <w:rPr>
          <w:rFonts w:ascii="Calibri" w:eastAsia="Arial Unicode MS" w:hAnsi="Calibri" w:cs="Arial Unicode MS"/>
          <w:b/>
          <w:sz w:val="22"/>
          <w:szCs w:val="22"/>
          <w:u w:val="single"/>
        </w:rPr>
      </w:pPr>
    </w:p>
    <w:p w:rsidR="00AC4801" w:rsidRPr="008A074D" w:rsidRDefault="00AC4801" w:rsidP="00AC4801">
      <w:pPr>
        <w:rPr>
          <w:rFonts w:ascii="Calibri" w:eastAsia="Arial Unicode MS" w:hAnsi="Calibri" w:cs="Arial Unicode MS"/>
          <w:b/>
          <w:sz w:val="22"/>
          <w:szCs w:val="22"/>
          <w:u w:val="single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b/>
          <w:u w:val="single"/>
        </w:rPr>
      </w:pPr>
      <w:bookmarkStart w:id="0" w:name="_GoBack"/>
      <w:r w:rsidRPr="00CA6232">
        <w:rPr>
          <w:rFonts w:ascii="Verdana" w:eastAsia="Arial Unicode MS" w:hAnsi="Verdana" w:cs="Arial Unicode MS"/>
          <w:b/>
          <w:u w:val="single"/>
        </w:rPr>
        <w:t>Erhebliche Umsatzausweitung der Bionorica läuft nach Plan</w:t>
      </w:r>
    </w:p>
    <w:bookmarkEnd w:id="0"/>
    <w:p w:rsidR="00AC4801" w:rsidRPr="00026423" w:rsidRDefault="00AC4801" w:rsidP="00AC4801">
      <w:pPr>
        <w:numPr>
          <w:ilvl w:val="0"/>
          <w:numId w:val="1"/>
        </w:numPr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026423">
        <w:rPr>
          <w:rFonts w:ascii="Verdana" w:eastAsia="Arial Unicode MS" w:hAnsi="Verdana" w:cs="Arial Unicode MS"/>
          <w:b/>
          <w:i/>
          <w:sz w:val="18"/>
          <w:szCs w:val="18"/>
        </w:rPr>
        <w:t xml:space="preserve">Deutscher Marktführer für pflanzliche Arzneimittel mit Erlösrekord </w:t>
      </w:r>
      <w:r>
        <w:rPr>
          <w:rFonts w:ascii="Verdana" w:eastAsia="Arial Unicode MS" w:hAnsi="Verdana" w:cs="Arial Unicode MS"/>
          <w:b/>
          <w:i/>
          <w:sz w:val="18"/>
          <w:szCs w:val="18"/>
        </w:rPr>
        <w:t>in 2013</w:t>
      </w:r>
    </w:p>
    <w:p w:rsidR="00AC4801" w:rsidRDefault="00AC4801" w:rsidP="00AC4801">
      <w:pPr>
        <w:numPr>
          <w:ilvl w:val="0"/>
          <w:numId w:val="1"/>
        </w:numPr>
        <w:rPr>
          <w:rFonts w:ascii="Verdana" w:eastAsia="Arial Unicode MS" w:hAnsi="Verdana" w:cs="Arial Unicode MS"/>
          <w:b/>
          <w:i/>
          <w:sz w:val="18"/>
          <w:szCs w:val="18"/>
        </w:rPr>
      </w:pPr>
      <w:r>
        <w:rPr>
          <w:rFonts w:ascii="Verdana" w:eastAsia="Arial Unicode MS" w:hAnsi="Verdana" w:cs="Arial Unicode MS"/>
          <w:b/>
          <w:i/>
          <w:sz w:val="18"/>
          <w:szCs w:val="18"/>
        </w:rPr>
        <w:t>Hinzugewinn weiterer Marktanteile im In- und Ausland mit wissenschaftlich erforschten Naturarzneien (</w:t>
      </w:r>
      <w:proofErr w:type="spellStart"/>
      <w:r>
        <w:rPr>
          <w:rFonts w:ascii="Verdana" w:eastAsia="Arial Unicode MS" w:hAnsi="Verdana" w:cs="Arial Unicode MS"/>
          <w:b/>
          <w:i/>
          <w:sz w:val="18"/>
          <w:szCs w:val="18"/>
        </w:rPr>
        <w:t>Phytopharmaka</w:t>
      </w:r>
      <w:proofErr w:type="spellEnd"/>
      <w:r>
        <w:rPr>
          <w:rFonts w:ascii="Verdana" w:eastAsia="Arial Unicode MS" w:hAnsi="Verdana" w:cs="Arial Unicode MS"/>
          <w:b/>
          <w:i/>
          <w:sz w:val="18"/>
          <w:szCs w:val="18"/>
        </w:rPr>
        <w:t>)</w:t>
      </w:r>
    </w:p>
    <w:p w:rsidR="00AC4801" w:rsidRPr="00026423" w:rsidRDefault="00AC4801" w:rsidP="00AC4801">
      <w:pPr>
        <w:numPr>
          <w:ilvl w:val="0"/>
          <w:numId w:val="1"/>
        </w:numPr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026423">
        <w:rPr>
          <w:rFonts w:ascii="Verdana" w:eastAsia="Arial Unicode MS" w:hAnsi="Verdana" w:cs="Arial Unicode MS"/>
          <w:b/>
          <w:i/>
          <w:sz w:val="18"/>
          <w:szCs w:val="18"/>
        </w:rPr>
        <w:t xml:space="preserve">Innovatives Vertriebskonzept für bundesdeutsche Apotheken </w:t>
      </w:r>
      <w:r>
        <w:rPr>
          <w:rFonts w:ascii="Verdana" w:eastAsia="Arial Unicode MS" w:hAnsi="Verdana" w:cs="Arial Unicode MS"/>
          <w:b/>
          <w:i/>
          <w:sz w:val="18"/>
          <w:szCs w:val="18"/>
        </w:rPr>
        <w:t>wird auf internationale Kernmärkte übertragen</w:t>
      </w:r>
    </w:p>
    <w:p w:rsidR="00AC4801" w:rsidRPr="00026423" w:rsidRDefault="00AC4801" w:rsidP="00AC4801">
      <w:pPr>
        <w:numPr>
          <w:ilvl w:val="0"/>
          <w:numId w:val="1"/>
        </w:numPr>
        <w:rPr>
          <w:rFonts w:ascii="Verdana" w:eastAsia="Arial Unicode MS" w:hAnsi="Verdana" w:cs="Arial Unicode MS"/>
          <w:b/>
          <w:i/>
          <w:sz w:val="18"/>
          <w:szCs w:val="18"/>
        </w:rPr>
      </w:pPr>
      <w:r>
        <w:rPr>
          <w:rFonts w:ascii="Verdana" w:eastAsia="Arial Unicode MS" w:hAnsi="Verdana" w:cs="Arial Unicode MS"/>
          <w:b/>
          <w:i/>
          <w:sz w:val="18"/>
          <w:szCs w:val="18"/>
        </w:rPr>
        <w:t>Mitarbeiterzahl steigt</w:t>
      </w:r>
    </w:p>
    <w:p w:rsidR="00AC4801" w:rsidRPr="001F4078" w:rsidRDefault="00AC4801" w:rsidP="00AC4801">
      <w:pPr>
        <w:rPr>
          <w:rFonts w:ascii="Verdana" w:eastAsia="Arial Unicode MS" w:hAnsi="Verdana" w:cs="Arial Unicode MS"/>
          <w:b/>
          <w:sz w:val="18"/>
          <w:szCs w:val="18"/>
        </w:rPr>
      </w:pPr>
    </w:p>
    <w:p w:rsidR="009F0B60" w:rsidRPr="006345F7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1F4078">
        <w:rPr>
          <w:rFonts w:ascii="Verdana" w:eastAsia="Arial Unicode MS" w:hAnsi="Verdana" w:cs="Arial Unicode MS"/>
          <w:i/>
          <w:sz w:val="16"/>
          <w:szCs w:val="16"/>
        </w:rPr>
        <w:t xml:space="preserve">(6. / </w:t>
      </w:r>
      <w:r>
        <w:rPr>
          <w:rFonts w:ascii="Verdana" w:eastAsia="Arial Unicode MS" w:hAnsi="Verdana" w:cs="Arial Unicode MS"/>
          <w:i/>
          <w:sz w:val="16"/>
          <w:szCs w:val="16"/>
        </w:rPr>
        <w:t>7. März 2014</w:t>
      </w:r>
      <w:r w:rsidRPr="001F4078">
        <w:rPr>
          <w:rFonts w:ascii="Verdana" w:eastAsia="Arial Unicode MS" w:hAnsi="Verdana" w:cs="Arial Unicode MS"/>
          <w:i/>
          <w:sz w:val="16"/>
          <w:szCs w:val="16"/>
        </w:rPr>
        <w:t>, Neumarkt, Düsseldorf)</w:t>
      </w:r>
      <w:r w:rsidRPr="00791691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073232">
        <w:rPr>
          <w:rFonts w:ascii="Verdana" w:eastAsia="Arial Unicode MS" w:hAnsi="Verdana" w:cs="Arial Unicode MS"/>
          <w:sz w:val="20"/>
          <w:szCs w:val="20"/>
        </w:rPr>
        <w:t xml:space="preserve">Mit einem erneuten Erlösrekord in 2013 setzt die Bionorica-Gruppe ihren Weg der nationalen und internationalen Expansion fort. Der </w:t>
      </w:r>
      <w:r w:rsidRPr="00CA6232">
        <w:rPr>
          <w:rFonts w:ascii="Verdana" w:eastAsia="Arial Unicode MS" w:hAnsi="Verdana" w:cs="Arial Unicode MS"/>
          <w:sz w:val="20"/>
          <w:szCs w:val="20"/>
        </w:rPr>
        <w:t>Hersteller apothekenpflichtiger pflanzlicher Arzneimittel (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Phytopharmaka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) erzielte im abgelaufenen Geschäftsjahr einen Netto-Umsatz von 232,9 Mio. Euro, und damit einen Zuwachs um 15,2% gegenüber Vorjahr 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(1)</w:t>
      </w:r>
      <w:r w:rsidRPr="00CA6232">
        <w:rPr>
          <w:rFonts w:ascii="Verdana" w:eastAsia="Arial Unicode MS" w:hAnsi="Verdana" w:cs="Arial Unicode MS"/>
          <w:sz w:val="20"/>
          <w:szCs w:val="20"/>
        </w:rPr>
        <w:t>. Mit dieser Entwicklung</w:t>
      </w:r>
      <w:r w:rsidR="00A47771">
        <w:rPr>
          <w:rFonts w:ascii="Verdana" w:eastAsia="Arial Unicode MS" w:hAnsi="Verdana" w:cs="Arial Unicode MS"/>
          <w:sz w:val="20"/>
          <w:szCs w:val="20"/>
        </w:rPr>
        <w:t xml:space="preserve"> ist Bionorica unter den Top 15 OTC-</w:t>
      </w:r>
      <w:r w:rsidRPr="00CA6232">
        <w:rPr>
          <w:rFonts w:ascii="Verdana" w:eastAsia="Arial Unicode MS" w:hAnsi="Verdana" w:cs="Arial Unicode MS"/>
          <w:sz w:val="20"/>
          <w:szCs w:val="20"/>
        </w:rPr>
        <w:t>Herstellern erneut das mit Abstand dynamisch</w:t>
      </w:r>
      <w:r w:rsidR="003523E4">
        <w:rPr>
          <w:rFonts w:ascii="Verdana" w:eastAsia="Arial Unicode MS" w:hAnsi="Verdana" w:cs="Arial Unicode MS"/>
          <w:sz w:val="20"/>
          <w:szCs w:val="20"/>
        </w:rPr>
        <w:t xml:space="preserve">ste Unternehmen im deutschen </w:t>
      </w:r>
      <w:r w:rsidR="003523E4" w:rsidRPr="006345F7">
        <w:rPr>
          <w:rFonts w:ascii="Verdana" w:eastAsia="Arial Unicode MS" w:hAnsi="Verdana" w:cs="Arial Unicode MS"/>
          <w:sz w:val="20"/>
          <w:szCs w:val="20"/>
        </w:rPr>
        <w:t>Selbstmedikationsb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ereich </w:t>
      </w:r>
      <w:r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>(2)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. Bezogen auf die Wachstumsraten im Umsatz und Abverkauf von Packungen im Bereich </w:t>
      </w:r>
      <w:proofErr w:type="spellStart"/>
      <w:r w:rsidRPr="006345F7">
        <w:rPr>
          <w:rFonts w:ascii="Verdana" w:eastAsia="Arial Unicode MS" w:hAnsi="Verdana" w:cs="Arial Unicode MS"/>
          <w:sz w:val="20"/>
          <w:szCs w:val="20"/>
        </w:rPr>
        <w:t>Phytopharmaka</w:t>
      </w:r>
      <w:proofErr w:type="spellEnd"/>
      <w:r w:rsidRPr="006345F7">
        <w:rPr>
          <w:rFonts w:ascii="Verdana" w:eastAsia="Arial Unicode MS" w:hAnsi="Verdana" w:cs="Arial Unicode MS"/>
          <w:sz w:val="20"/>
          <w:szCs w:val="20"/>
        </w:rPr>
        <w:t xml:space="preserve"> ist </w:t>
      </w:r>
      <w:r w:rsidR="009F0B60" w:rsidRPr="006345F7">
        <w:rPr>
          <w:rFonts w:ascii="Verdana" w:eastAsia="Arial Unicode MS" w:hAnsi="Verdana" w:cs="Arial Unicode MS"/>
          <w:sz w:val="20"/>
          <w:szCs w:val="20"/>
        </w:rPr>
        <w:t xml:space="preserve">die </w:t>
      </w:r>
      <w:proofErr w:type="spellStart"/>
      <w:r w:rsidRPr="006345F7">
        <w:rPr>
          <w:rFonts w:ascii="Verdana" w:eastAsia="Arial Unicode MS" w:hAnsi="Verdana" w:cs="Arial Unicode MS"/>
          <w:sz w:val="20"/>
          <w:szCs w:val="20"/>
        </w:rPr>
        <w:t>Bion</w:t>
      </w:r>
      <w:r w:rsidR="009F0B60" w:rsidRPr="006345F7">
        <w:rPr>
          <w:rFonts w:ascii="Verdana" w:eastAsia="Arial Unicode MS" w:hAnsi="Verdana" w:cs="Arial Unicode MS"/>
          <w:sz w:val="20"/>
          <w:szCs w:val="20"/>
        </w:rPr>
        <w:t>orica</w:t>
      </w:r>
      <w:proofErr w:type="spellEnd"/>
      <w:r w:rsidR="009F0B60" w:rsidRPr="006345F7">
        <w:rPr>
          <w:rFonts w:ascii="Verdana" w:eastAsia="Arial Unicode MS" w:hAnsi="Verdana" w:cs="Arial Unicode MS"/>
          <w:sz w:val="20"/>
          <w:szCs w:val="20"/>
        </w:rPr>
        <w:t xml:space="preserve"> auch in Europa die </w:t>
      </w:r>
    </w:p>
    <w:p w:rsidR="00AC4801" w:rsidRPr="00CA6232" w:rsidRDefault="009F0B60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6345F7">
        <w:rPr>
          <w:rFonts w:ascii="Verdana" w:eastAsia="Arial Unicode MS" w:hAnsi="Verdana" w:cs="Arial Unicode MS"/>
          <w:sz w:val="20"/>
          <w:szCs w:val="20"/>
        </w:rPr>
        <w:t xml:space="preserve">Nummer </w:t>
      </w:r>
      <w:r w:rsidR="00AC4801" w:rsidRPr="006345F7">
        <w:rPr>
          <w:rFonts w:ascii="Verdana" w:eastAsia="Arial Unicode MS" w:hAnsi="Verdana" w:cs="Arial Unicode MS"/>
          <w:sz w:val="20"/>
          <w:szCs w:val="20"/>
        </w:rPr>
        <w:t>1</w:t>
      </w:r>
      <w:r w:rsidR="006F241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C4801"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>(3)</w:t>
      </w:r>
      <w:r w:rsidR="00766AE3"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 xml:space="preserve">, </w:t>
      </w:r>
      <w:r w:rsidR="00766AE3" w:rsidRPr="006345F7">
        <w:rPr>
          <w:rFonts w:ascii="Verdana" w:eastAsia="Arial Unicode MS" w:hAnsi="Verdana" w:cs="Arial Unicode MS"/>
          <w:sz w:val="20"/>
          <w:szCs w:val="20"/>
        </w:rPr>
        <w:t>obwohl</w:t>
      </w:r>
      <w:r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 xml:space="preserve"> </w:t>
      </w:r>
      <w:r w:rsidRPr="006345F7">
        <w:rPr>
          <w:rFonts w:ascii="Verdana" w:eastAsia="Arial Unicode MS" w:hAnsi="Verdana" w:cs="Arial Unicode MS"/>
          <w:sz w:val="20"/>
          <w:szCs w:val="20"/>
        </w:rPr>
        <w:t>sie hier erst in einigen Märkten vertreten ist</w:t>
      </w:r>
      <w:r w:rsidR="00AC4801" w:rsidRPr="006345F7">
        <w:rPr>
          <w:rFonts w:ascii="Verdana" w:eastAsia="Arial Unicode MS" w:hAnsi="Verdana" w:cs="Arial Unicode MS"/>
          <w:sz w:val="20"/>
          <w:szCs w:val="20"/>
        </w:rPr>
        <w:t>.</w:t>
      </w:r>
      <w:r w:rsidR="00AC4801" w:rsidRPr="00CA6232">
        <w:rPr>
          <w:rFonts w:ascii="Verdana" w:eastAsia="Arial Unicode MS" w:hAnsi="Verdana" w:cs="Arial Unicode MS"/>
          <w:sz w:val="20"/>
          <w:szCs w:val="20"/>
        </w:rPr>
        <w:t xml:space="preserve"> 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 xml:space="preserve">Während der deutsche Pharma-Markt im letzten Jahr um 5,5% wuchs, legte Bionorica mit 23,4% zu 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(4)</w:t>
      </w:r>
      <w:r w:rsidRPr="00CA6232">
        <w:rPr>
          <w:rFonts w:ascii="Verdana" w:eastAsia="Arial Unicode MS" w:hAnsi="Verdana" w:cs="Arial Unicode MS"/>
          <w:sz w:val="20"/>
          <w:szCs w:val="20"/>
        </w:rPr>
        <w:t>. Ausschlaggebend dafür waren unter anderem die Wachstumsraten der Atemwegs- und Immunpräparate, wie Sinupret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®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(+25,7%), Bronchipret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®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(+ 18,5%) oder Imupret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®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(+ 32,5%). Noch erfolgreicher entwickelte sich Canephron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®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N gegen Harnwegsinfektionen (+ 51,3%) 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(5)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 xml:space="preserve">Auch in internationalen Kernmärkten übertraf der deutsche Heilpflanzenspezialist die Entwicklung teilweise überdeutlich 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(6)</w:t>
      </w:r>
      <w:r w:rsidRPr="00CA6232">
        <w:rPr>
          <w:rFonts w:ascii="Verdana" w:eastAsia="Arial Unicode MS" w:hAnsi="Verdana" w:cs="Arial Unicode MS"/>
          <w:sz w:val="20"/>
          <w:szCs w:val="20"/>
        </w:rPr>
        <w:t>.  „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 xml:space="preserve">Wir sind stolz auf unsere kontinuierlich wachsende Akzeptanz. Immer mehr Ärzte, Apotheker und Patienten setzen auf </w:t>
      </w:r>
      <w:r>
        <w:rPr>
          <w:rFonts w:ascii="Verdana" w:eastAsia="Arial Unicode MS" w:hAnsi="Verdana" w:cs="Arial Unicode MS"/>
          <w:i/>
          <w:sz w:val="20"/>
          <w:szCs w:val="20"/>
        </w:rPr>
        <w:t>die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 xml:space="preserve"> neue Generation </w:t>
      </w:r>
      <w:r>
        <w:rPr>
          <w:rFonts w:ascii="Verdana" w:eastAsia="Arial Unicode MS" w:hAnsi="Verdana" w:cs="Arial Unicode MS"/>
          <w:i/>
          <w:sz w:val="20"/>
          <w:szCs w:val="20"/>
        </w:rPr>
        <w:t xml:space="preserve">unserer 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>pflanzliche</w:t>
      </w:r>
      <w:r>
        <w:rPr>
          <w:rFonts w:ascii="Verdana" w:eastAsia="Arial Unicode MS" w:hAnsi="Verdana" w:cs="Arial Unicode MS"/>
          <w:i/>
          <w:sz w:val="20"/>
          <w:szCs w:val="20"/>
        </w:rPr>
        <w:t>n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 xml:space="preserve"> Arzneimittel. Der Grund hierfür ist, dass wir mit unseren Präparaten </w:t>
      </w:r>
      <w:r w:rsidR="005A29B3" w:rsidRPr="00EB40E8">
        <w:rPr>
          <w:rFonts w:ascii="Verdana" w:eastAsia="Arial Unicode MS" w:hAnsi="Verdana" w:cs="Arial Unicode MS"/>
          <w:i/>
          <w:sz w:val="20"/>
          <w:szCs w:val="20"/>
        </w:rPr>
        <w:t>die Qualitätsführerschaft</w:t>
      </w:r>
      <w:r w:rsidRPr="00EB40E8">
        <w:rPr>
          <w:rFonts w:ascii="Verdana" w:eastAsia="Arial Unicode MS" w:hAnsi="Verdana" w:cs="Arial Unicode MS"/>
          <w:i/>
          <w:sz w:val="20"/>
          <w:szCs w:val="20"/>
        </w:rPr>
        <w:t xml:space="preserve"> in der pflanzlichen Medizin </w:t>
      </w:r>
      <w:r w:rsidR="00AB037D" w:rsidRPr="00EB40E8">
        <w:rPr>
          <w:rFonts w:ascii="Verdana" w:eastAsia="Arial Unicode MS" w:hAnsi="Verdana" w:cs="Arial Unicode MS"/>
          <w:i/>
          <w:sz w:val="20"/>
          <w:szCs w:val="20"/>
        </w:rPr>
        <w:t>haben</w:t>
      </w:r>
      <w:r w:rsidRPr="00EB40E8">
        <w:rPr>
          <w:rFonts w:ascii="Verdana" w:eastAsia="Arial Unicode MS" w:hAnsi="Verdana" w:cs="Arial Unicode MS"/>
          <w:i/>
          <w:sz w:val="20"/>
          <w:szCs w:val="20"/>
        </w:rPr>
        <w:t>.“,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 xml:space="preserve"> 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so Prof. Dr. Michael Popp, Inhaber und Vorstandsvorsitzender der Bionorica. 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t xml:space="preserve"> </w:t>
      </w:r>
      <w:r w:rsidRPr="00CA6232">
        <w:rPr>
          <w:rFonts w:ascii="Verdana" w:eastAsia="Arial Unicode MS" w:hAnsi="Verdana" w:cs="Arial Unicode MS"/>
          <w:i/>
          <w:sz w:val="20"/>
          <w:szCs w:val="20"/>
        </w:rPr>
        <w:br/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>Den fundamentalen Eckpfeiler seines Erfolges sieht das Unternehmen</w:t>
      </w:r>
      <w:r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in seiner wissenschaftlich basierten Forschungs- und Entwicklungsphilosophie. Neben weltweiten Kooperationen mit </w:t>
      </w:r>
      <w:r w:rsidR="005A29B3" w:rsidRPr="006345F7">
        <w:rPr>
          <w:rFonts w:ascii="Verdana" w:eastAsia="Arial Unicode MS" w:hAnsi="Verdana" w:cs="Arial Unicode MS"/>
          <w:sz w:val="20"/>
          <w:szCs w:val="20"/>
        </w:rPr>
        <w:t>rund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523E4" w:rsidRPr="006345F7">
        <w:rPr>
          <w:rFonts w:ascii="Verdana" w:eastAsia="Arial Unicode MS" w:hAnsi="Verdana" w:cs="Arial Unicode MS"/>
          <w:sz w:val="20"/>
          <w:szCs w:val="20"/>
        </w:rPr>
        <w:t>500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 führenden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Universitäten und Kliniken betreibt Bionorica eigene Forschungseinrichtungen. Darüber hinaus ist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Bionorica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exklusiver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-Partner des ADSI </w:t>
      </w:r>
      <w:r w:rsidRPr="00CA6232">
        <w:rPr>
          <w:rFonts w:ascii="Verdana" w:eastAsia="Arial Unicode MS" w:hAnsi="Verdana" w:cs="Arial Unicode MS"/>
          <w:sz w:val="20"/>
          <w:szCs w:val="20"/>
          <w:vertAlign w:val="superscript"/>
        </w:rPr>
        <w:t>(7)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. Dort werden in der nächsten Zeit über 100 verschiedene Heilpflanzen mit modernsten Screening-Verfahren analysiert, um neue Wirkstoffkandidaten aus der Natur zu identifizieren. 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>Eine erfolgreiche Innovation hatte das Unternehmen, das aktuell 12 Präparate für unterschiedliche Indikationen im Portfolio hat</w:t>
      </w:r>
      <w:r w:rsidR="00882B4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im Oktober 2012 in den deutschen Markt eingeführt: </w:t>
      </w:r>
      <w:r w:rsidR="003523E4" w:rsidRPr="006345F7">
        <w:rPr>
          <w:rFonts w:ascii="Verdana" w:eastAsia="Arial Unicode MS" w:hAnsi="Verdana" w:cs="Arial Unicode MS"/>
          <w:sz w:val="20"/>
          <w:szCs w:val="20"/>
        </w:rPr>
        <w:t>Sinupret</w:t>
      </w:r>
      <w:r w:rsidR="003523E4"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>®</w:t>
      </w:r>
      <w:r w:rsidR="003523E4" w:rsidRPr="006345F7">
        <w:rPr>
          <w:rFonts w:ascii="Verdana" w:eastAsia="Arial Unicode MS" w:hAnsi="Verdana" w:cs="Arial Unicode MS"/>
          <w:sz w:val="20"/>
          <w:szCs w:val="20"/>
        </w:rPr>
        <w:t xml:space="preserve"> </w:t>
      </w:r>
      <w:proofErr w:type="spellStart"/>
      <w:r w:rsidR="003523E4" w:rsidRPr="006345F7">
        <w:rPr>
          <w:rFonts w:ascii="Verdana" w:eastAsia="Arial Unicode MS" w:hAnsi="Verdana" w:cs="Arial Unicode MS"/>
          <w:sz w:val="20"/>
          <w:szCs w:val="20"/>
        </w:rPr>
        <w:t>extract</w:t>
      </w:r>
      <w:proofErr w:type="spellEnd"/>
      <w:r w:rsidR="003523E4" w:rsidRPr="006345F7">
        <w:rPr>
          <w:rFonts w:ascii="Verdana" w:eastAsia="Arial Unicode MS" w:hAnsi="Verdana" w:cs="Arial Unicode MS"/>
          <w:sz w:val="20"/>
          <w:szCs w:val="20"/>
        </w:rPr>
        <w:t>, vierfach konzentriert</w:t>
      </w:r>
      <w:r w:rsidR="005B403A" w:rsidRPr="006345F7">
        <w:rPr>
          <w:rFonts w:ascii="Verdana" w:eastAsia="Arial Unicode MS" w:hAnsi="Verdana" w:cs="Arial Unicode MS"/>
          <w:sz w:val="20"/>
          <w:szCs w:val="20"/>
        </w:rPr>
        <w:t xml:space="preserve"> im Vergleich zu Sinupret</w:t>
      </w:r>
      <w:r w:rsidR="005B403A"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 xml:space="preserve">® </w:t>
      </w:r>
      <w:r w:rsidR="005B403A" w:rsidRPr="006345F7">
        <w:rPr>
          <w:rFonts w:ascii="Verdana" w:eastAsia="Arial Unicode MS" w:hAnsi="Verdana" w:cs="Arial Unicode MS"/>
          <w:sz w:val="20"/>
          <w:szCs w:val="20"/>
        </w:rPr>
        <w:t xml:space="preserve">forte </w:t>
      </w:r>
      <w:r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>(</w:t>
      </w:r>
      <w:r w:rsidR="00465FEA">
        <w:rPr>
          <w:rFonts w:ascii="Verdana" w:eastAsia="Arial Unicode MS" w:hAnsi="Verdana" w:cs="Arial Unicode MS"/>
          <w:sz w:val="20"/>
          <w:szCs w:val="20"/>
          <w:vertAlign w:val="superscript"/>
        </w:rPr>
        <w:t>8</w:t>
      </w:r>
      <w:r w:rsidRPr="006345F7">
        <w:rPr>
          <w:rFonts w:ascii="Verdana" w:eastAsia="Arial Unicode MS" w:hAnsi="Verdana" w:cs="Arial Unicode MS"/>
          <w:sz w:val="20"/>
          <w:szCs w:val="20"/>
          <w:vertAlign w:val="superscript"/>
        </w:rPr>
        <w:t>)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. </w:t>
      </w:r>
      <w:r w:rsidR="00D21FFD" w:rsidRPr="00EB40E8">
        <w:rPr>
          <w:rFonts w:ascii="Verdana" w:eastAsia="Arial Unicode MS" w:hAnsi="Verdana" w:cs="Arial Unicode MS"/>
          <w:sz w:val="20"/>
          <w:szCs w:val="20"/>
        </w:rPr>
        <w:t>Auch hier wurde die Wirksamkeit und Sicherheit des Präparats</w:t>
      </w:r>
      <w:r w:rsidR="00882B45" w:rsidRPr="00EB40E8">
        <w:rPr>
          <w:rFonts w:ascii="Verdana" w:eastAsia="Arial Unicode MS" w:hAnsi="Verdana" w:cs="Arial Unicode MS"/>
          <w:sz w:val="20"/>
          <w:szCs w:val="20"/>
        </w:rPr>
        <w:t xml:space="preserve"> durch </w:t>
      </w:r>
      <w:r w:rsidR="00D21FFD" w:rsidRPr="00EB40E8">
        <w:rPr>
          <w:rFonts w:ascii="Verdana" w:eastAsia="Arial Unicode MS" w:hAnsi="Verdana" w:cs="Arial Unicode MS"/>
          <w:sz w:val="20"/>
          <w:szCs w:val="20"/>
        </w:rPr>
        <w:t xml:space="preserve">anerkannte </w:t>
      </w:r>
      <w:r w:rsidR="00D3186F" w:rsidRPr="00EB40E8">
        <w:rPr>
          <w:rFonts w:ascii="Verdana" w:eastAsia="Arial Unicode MS" w:hAnsi="Verdana" w:cs="Arial Unicode MS"/>
          <w:sz w:val="20"/>
          <w:szCs w:val="20"/>
        </w:rPr>
        <w:t>pharmakologisch</w:t>
      </w:r>
      <w:r w:rsidR="00882B45" w:rsidRPr="00EB40E8">
        <w:rPr>
          <w:rFonts w:ascii="Verdana" w:eastAsia="Arial Unicode MS" w:hAnsi="Verdana" w:cs="Arial Unicode MS"/>
          <w:sz w:val="20"/>
          <w:szCs w:val="20"/>
        </w:rPr>
        <w:t>e</w:t>
      </w:r>
      <w:r w:rsidR="00D3186F" w:rsidRPr="00EB40E8">
        <w:rPr>
          <w:rFonts w:ascii="Verdana" w:eastAsia="Arial Unicode MS" w:hAnsi="Verdana" w:cs="Arial Unicode MS"/>
          <w:sz w:val="20"/>
          <w:szCs w:val="20"/>
        </w:rPr>
        <w:t xml:space="preserve"> und klinisch</w:t>
      </w:r>
      <w:r w:rsidR="00882B45" w:rsidRPr="00EB40E8">
        <w:rPr>
          <w:rFonts w:ascii="Verdana" w:eastAsia="Arial Unicode MS" w:hAnsi="Verdana" w:cs="Arial Unicode MS"/>
          <w:sz w:val="20"/>
          <w:szCs w:val="20"/>
        </w:rPr>
        <w:t>e Studien</w:t>
      </w:r>
      <w:r w:rsidR="00D3186F" w:rsidRPr="00EB40E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D21FFD" w:rsidRPr="00EB40E8">
        <w:rPr>
          <w:rFonts w:ascii="Verdana" w:eastAsia="Arial Unicode MS" w:hAnsi="Verdana" w:cs="Arial Unicode MS"/>
          <w:sz w:val="20"/>
          <w:szCs w:val="20"/>
        </w:rPr>
        <w:t>belegt.</w:t>
      </w:r>
      <w:r w:rsidR="00D3186F" w:rsidRPr="00EB40E8">
        <w:rPr>
          <w:rFonts w:ascii="Verdana" w:eastAsia="Arial Unicode MS" w:hAnsi="Verdana" w:cs="Arial Unicode MS"/>
          <w:sz w:val="20"/>
          <w:szCs w:val="20"/>
        </w:rPr>
        <w:t xml:space="preserve"> </w:t>
      </w:r>
    </w:p>
    <w:p w:rsidR="00D21FFD" w:rsidRPr="00CA6232" w:rsidRDefault="00D21FFD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 xml:space="preserve">Die auf klassische Werbung fast vollkommen verzichtende Bionorica kommuniziert die Alleinstellungsmerkmale ihrer 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Präparate </w:t>
      </w:r>
      <w:r w:rsidR="00F23619" w:rsidRPr="006345F7">
        <w:rPr>
          <w:rFonts w:ascii="Verdana" w:eastAsia="Arial Unicode MS" w:hAnsi="Verdana" w:cs="Arial Unicode MS"/>
          <w:sz w:val="20"/>
          <w:szCs w:val="20"/>
        </w:rPr>
        <w:t>in erster Linie</w:t>
      </w:r>
      <w:r w:rsidRPr="006345F7">
        <w:rPr>
          <w:rFonts w:ascii="Verdana" w:eastAsia="Arial Unicode MS" w:hAnsi="Verdana" w:cs="Arial Unicode MS"/>
          <w:sz w:val="20"/>
          <w:szCs w:val="20"/>
        </w:rPr>
        <w:t xml:space="preserve"> an Ärzte und Apotheker. In diesem Zusammenhang wurde ein einzigartiges Differenzierungskonzept für Apotheken entwickelt, die „</w:t>
      </w:r>
      <w:proofErr w:type="spellStart"/>
      <w:r w:rsidRPr="006345F7">
        <w:rPr>
          <w:rFonts w:ascii="Verdana" w:eastAsia="Arial Unicode MS" w:hAnsi="Verdana" w:cs="Arial Unicode MS"/>
          <w:sz w:val="20"/>
          <w:szCs w:val="20"/>
        </w:rPr>
        <w:t>Phytothek</w:t>
      </w:r>
      <w:proofErr w:type="spellEnd"/>
      <w:r w:rsidRPr="006345F7">
        <w:rPr>
          <w:rFonts w:ascii="Verdana" w:eastAsia="Arial Unicode MS" w:hAnsi="Verdana" w:cs="Arial Unicode MS"/>
          <w:sz w:val="20"/>
          <w:szCs w:val="20"/>
        </w:rPr>
        <w:t xml:space="preserve">“. Die </w:t>
      </w:r>
      <w:proofErr w:type="spellStart"/>
      <w:r w:rsidRPr="006345F7">
        <w:rPr>
          <w:rFonts w:ascii="Verdana" w:eastAsia="Arial Unicode MS" w:hAnsi="Verdana" w:cs="Arial Unicode MS"/>
          <w:sz w:val="20"/>
          <w:szCs w:val="20"/>
        </w:rPr>
        <w:t>Phytothek</w:t>
      </w:r>
      <w:proofErr w:type="spellEnd"/>
      <w:r w:rsidRPr="006345F7">
        <w:rPr>
          <w:rFonts w:ascii="Verdana" w:eastAsia="Arial Unicode MS" w:hAnsi="Verdana" w:cs="Arial Unicode MS"/>
          <w:sz w:val="20"/>
          <w:szCs w:val="20"/>
        </w:rPr>
        <w:t xml:space="preserve"> ist durch </w:t>
      </w:r>
      <w:r w:rsidR="00F23619" w:rsidRPr="006345F7">
        <w:rPr>
          <w:rFonts w:ascii="Verdana" w:eastAsia="Arial Unicode MS" w:hAnsi="Verdana" w:cs="Arial Unicode MS"/>
          <w:sz w:val="20"/>
          <w:szCs w:val="20"/>
        </w:rPr>
        <w:t xml:space="preserve">ein </w:t>
      </w:r>
      <w:r w:rsidRPr="006345F7">
        <w:rPr>
          <w:rFonts w:ascii="Verdana" w:eastAsia="Arial Unicode MS" w:hAnsi="Verdana" w:cs="Arial Unicode MS"/>
          <w:sz w:val="20"/>
          <w:szCs w:val="20"/>
        </w:rPr>
        <w:t>spezifische</w:t>
      </w:r>
      <w:r w:rsidR="00F23619" w:rsidRPr="006345F7">
        <w:rPr>
          <w:rFonts w:ascii="Verdana" w:eastAsia="Arial Unicode MS" w:hAnsi="Verdana" w:cs="Arial Unicode MS"/>
          <w:sz w:val="20"/>
          <w:szCs w:val="20"/>
        </w:rPr>
        <w:t xml:space="preserve">s </w:t>
      </w:r>
      <w:r w:rsidR="00EB40E8">
        <w:rPr>
          <w:rFonts w:ascii="Verdana" w:eastAsia="Arial Unicode MS" w:hAnsi="Verdana" w:cs="Arial Unicode MS"/>
          <w:sz w:val="20"/>
          <w:szCs w:val="20"/>
        </w:rPr>
        <w:t>Kompetenz</w:t>
      </w:r>
      <w:r w:rsidR="00F23619" w:rsidRPr="006345F7">
        <w:rPr>
          <w:rFonts w:ascii="Verdana" w:eastAsia="Arial Unicode MS" w:hAnsi="Verdana" w:cs="Arial Unicode MS"/>
          <w:sz w:val="20"/>
          <w:szCs w:val="20"/>
        </w:rPr>
        <w:t xml:space="preserve">konzept </w:t>
      </w:r>
      <w:r w:rsidR="00EB40E8">
        <w:rPr>
          <w:rFonts w:ascii="Verdana" w:eastAsia="Arial Unicode MS" w:hAnsi="Verdana" w:cs="Arial Unicode MS"/>
          <w:sz w:val="20"/>
          <w:szCs w:val="20"/>
        </w:rPr>
        <w:t xml:space="preserve">für das Apothekenpersonal </w:t>
      </w:r>
      <w:r w:rsidRPr="006345F7">
        <w:rPr>
          <w:rFonts w:ascii="Verdana" w:eastAsia="Arial Unicode MS" w:hAnsi="Verdana" w:cs="Arial Unicode MS"/>
          <w:sz w:val="20"/>
          <w:szCs w:val="20"/>
        </w:rPr>
        <w:t>charakterisiert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u</w:t>
      </w:r>
      <w:r w:rsidR="00395874">
        <w:rPr>
          <w:rFonts w:ascii="Verdana" w:eastAsia="Arial Unicode MS" w:hAnsi="Verdana" w:cs="Arial Unicode MS"/>
          <w:sz w:val="20"/>
          <w:szCs w:val="20"/>
        </w:rPr>
        <w:t>nd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soll Verbraucher darauf aufmerksam machen, dass es </w:t>
      </w:r>
      <w:r w:rsidR="0064700C">
        <w:rPr>
          <w:rFonts w:ascii="Verdana" w:eastAsia="Arial Unicode MS" w:hAnsi="Verdana" w:cs="Arial Unicode MS"/>
          <w:sz w:val="20"/>
          <w:szCs w:val="20"/>
        </w:rPr>
        <w:t>wissenschaftlich fundierte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, wirksame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Phytopharmaka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mit der </w:t>
      </w:r>
      <w:r w:rsidRPr="00CA6232">
        <w:rPr>
          <w:rFonts w:ascii="Verdana" w:eastAsia="Arial Unicode MS" w:hAnsi="Verdana" w:cs="Arial Unicode MS"/>
          <w:sz w:val="20"/>
          <w:szCs w:val="20"/>
        </w:rPr>
        <w:lastRenderedPageBreak/>
        <w:t xml:space="preserve">dazugehörigen fachkundigen Beratung nur in der Apotheke gibt. Deshalb stehen wissenschaftlich orientierte Schulungen über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Phytopharmaka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im Fokus des „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Phytothek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-Konzepts“. </w:t>
      </w:r>
      <w:r w:rsidR="00DB27FB" w:rsidRPr="004E1032">
        <w:rPr>
          <w:rFonts w:ascii="Verdana" w:eastAsia="Arial Unicode MS" w:hAnsi="Verdana" w:cs="Arial Unicode MS"/>
          <w:sz w:val="20"/>
          <w:szCs w:val="20"/>
        </w:rPr>
        <w:t xml:space="preserve">Neben dem spezifischen Ausbildungskonzept ist die </w:t>
      </w:r>
      <w:proofErr w:type="spellStart"/>
      <w:r w:rsidR="00DB27FB" w:rsidRPr="004E1032">
        <w:rPr>
          <w:rFonts w:ascii="Verdana" w:eastAsia="Arial Unicode MS" w:hAnsi="Verdana" w:cs="Arial Unicode MS"/>
          <w:sz w:val="20"/>
          <w:szCs w:val="20"/>
        </w:rPr>
        <w:t>Phytothek</w:t>
      </w:r>
      <w:proofErr w:type="spellEnd"/>
      <w:r w:rsidR="00DB27FB" w:rsidRPr="004E1032">
        <w:rPr>
          <w:rFonts w:ascii="Verdana" w:eastAsia="Arial Unicode MS" w:hAnsi="Verdana" w:cs="Arial Unicode MS"/>
          <w:sz w:val="20"/>
          <w:szCs w:val="20"/>
        </w:rPr>
        <w:t xml:space="preserve"> durch </w:t>
      </w:r>
      <w:r w:rsidR="00DB27FB">
        <w:rPr>
          <w:rFonts w:ascii="Verdana" w:eastAsia="Arial Unicode MS" w:hAnsi="Verdana" w:cs="Arial Unicode MS"/>
          <w:sz w:val="20"/>
          <w:szCs w:val="20"/>
        </w:rPr>
        <w:t>spezielle</w:t>
      </w:r>
      <w:r w:rsidR="00DB27FB" w:rsidRPr="004E1032">
        <w:rPr>
          <w:rFonts w:ascii="Verdana" w:eastAsia="Arial Unicode MS" w:hAnsi="Verdana" w:cs="Arial Unicode MS"/>
          <w:sz w:val="20"/>
          <w:szCs w:val="20"/>
        </w:rPr>
        <w:t xml:space="preserve"> Einrichtungsmodul</w:t>
      </w:r>
      <w:r w:rsidR="00DB27FB">
        <w:rPr>
          <w:rFonts w:ascii="Verdana" w:eastAsia="Arial Unicode MS" w:hAnsi="Verdana" w:cs="Arial Unicode MS"/>
          <w:sz w:val="20"/>
          <w:szCs w:val="20"/>
        </w:rPr>
        <w:t>e</w:t>
      </w:r>
      <w:r w:rsidR="00DB27FB" w:rsidRPr="004E1032">
        <w:rPr>
          <w:rFonts w:ascii="Verdana" w:eastAsia="Arial Unicode MS" w:hAnsi="Verdana" w:cs="Arial Unicode MS"/>
          <w:sz w:val="20"/>
          <w:szCs w:val="20"/>
        </w:rPr>
        <w:t xml:space="preserve"> charakterisiert</w:t>
      </w:r>
      <w:r w:rsidR="00DB27FB">
        <w:rPr>
          <w:rFonts w:ascii="Verdana" w:eastAsia="Arial Unicode MS" w:hAnsi="Verdana" w:cs="Arial Unicode MS"/>
          <w:sz w:val="20"/>
          <w:szCs w:val="20"/>
        </w:rPr>
        <w:t xml:space="preserve">. 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525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Phytothek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>-Verträge hat das Unternehmen bis Ende 2013 abgeschlossen, in 2014 sollen weitere 400 Installationen inklusive der breit gefächerten Schulungs- und Serviceangebote erfolgen. Im Rahmen des Kompetenz-Konzepts haben bislang über 1.000 Apotheken-Mitarbeiter den durch Apothekenkammern und IHKs zertifizierten Abschluss „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>-PTA“ erworben. Die Bionorica weitet die Schulungsoffensive jetzt auf den zertifizierten L</w:t>
      </w:r>
      <w:r w:rsidR="00A47BF2">
        <w:rPr>
          <w:rFonts w:ascii="Verdana" w:eastAsia="Arial Unicode MS" w:hAnsi="Verdana" w:cs="Arial Unicode MS"/>
          <w:sz w:val="20"/>
          <w:szCs w:val="20"/>
        </w:rPr>
        <w:t>ehrgang</w:t>
      </w:r>
      <w:r w:rsidR="00B05BB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47BF2">
        <w:rPr>
          <w:rFonts w:ascii="Verdana" w:eastAsia="Arial Unicode MS" w:hAnsi="Verdana" w:cs="Arial Unicode MS"/>
          <w:sz w:val="20"/>
          <w:szCs w:val="20"/>
        </w:rPr>
        <w:t xml:space="preserve"> „</w:t>
      </w:r>
      <w:r w:rsidR="00B05BB4">
        <w:rPr>
          <w:rFonts w:ascii="Verdana" w:hAnsi="Verdana"/>
          <w:sz w:val="20"/>
          <w:szCs w:val="20"/>
        </w:rPr>
        <w:t xml:space="preserve">Angewandte </w:t>
      </w:r>
      <w:proofErr w:type="spellStart"/>
      <w:r w:rsidR="00B05BB4">
        <w:rPr>
          <w:rFonts w:ascii="Verdana" w:hAnsi="Verdana"/>
          <w:sz w:val="20"/>
          <w:szCs w:val="20"/>
        </w:rPr>
        <w:t>Arzneipflanzen</w:t>
      </w:r>
      <w:r w:rsidR="00A259E8">
        <w:rPr>
          <w:rFonts w:ascii="Verdana" w:hAnsi="Verdana"/>
          <w:sz w:val="20"/>
          <w:szCs w:val="20"/>
        </w:rPr>
        <w:softHyphen/>
      </w:r>
      <w:r w:rsidR="00B05BB4">
        <w:rPr>
          <w:rFonts w:ascii="Verdana" w:hAnsi="Verdana"/>
          <w:sz w:val="20"/>
          <w:szCs w:val="20"/>
        </w:rPr>
        <w:t>kunde</w:t>
      </w:r>
      <w:proofErr w:type="spellEnd"/>
      <w:r w:rsidR="00B05BB4">
        <w:rPr>
          <w:rFonts w:ascii="Verdana" w:hAnsi="Verdana"/>
          <w:sz w:val="20"/>
          <w:szCs w:val="20"/>
        </w:rPr>
        <w:t xml:space="preserve"> in der Apotheke</w:t>
      </w:r>
      <w:r w:rsidR="002F72A5">
        <w:rPr>
          <w:rFonts w:ascii="Verdana" w:hAnsi="Verdana"/>
          <w:sz w:val="20"/>
          <w:szCs w:val="20"/>
        </w:rPr>
        <w:t>“</w:t>
      </w:r>
      <w:r w:rsidR="00B05BB4">
        <w:rPr>
          <w:rFonts w:ascii="Verdana" w:hAnsi="Verdana"/>
          <w:sz w:val="20"/>
          <w:szCs w:val="20"/>
        </w:rPr>
        <w:t xml:space="preserve"> (IHK)</w:t>
      </w:r>
      <w:r w:rsidR="004C1B7E">
        <w:rPr>
          <w:rFonts w:ascii="Verdana" w:hAnsi="Verdana"/>
          <w:sz w:val="20"/>
          <w:szCs w:val="20"/>
        </w:rPr>
        <w:t xml:space="preserve"> aus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. Dieser richtet sich an den Apotheker selbst. </w:t>
      </w:r>
      <w:r w:rsidRPr="00CA6232">
        <w:rPr>
          <w:rFonts w:ascii="Verdana" w:eastAsia="Arial Unicode MS" w:hAnsi="Verdana" w:cs="Arial Unicode MS"/>
          <w:sz w:val="20"/>
          <w:szCs w:val="20"/>
        </w:rPr>
        <w:br/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 xml:space="preserve">Das erfolgreiche Gesamtkonzept wird nach international getesteten Pilot-Projekten auch auf Märkte außerhalb Deutschlands übertragen. Alleine in Russland und der Ukraine, wo Bionorica ebenfalls Marktführer im Bereich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Phytopharmaka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ist, sollen in 2014 über 100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Phytotheken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entstehen. 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>Um ihre Forschungsinvestitionen kontinuierlich erhöhen zu können, will das im ober</w:t>
      </w:r>
      <w:r w:rsidR="00A259E8">
        <w:rPr>
          <w:rFonts w:ascii="Verdana" w:eastAsia="Arial Unicode MS" w:hAnsi="Verdana" w:cs="Arial Unicode MS"/>
          <w:sz w:val="20"/>
          <w:szCs w:val="20"/>
        </w:rPr>
        <w:softHyphen/>
      </w:r>
      <w:r w:rsidRPr="00CA6232">
        <w:rPr>
          <w:rFonts w:ascii="Verdana" w:eastAsia="Arial Unicode MS" w:hAnsi="Verdana" w:cs="Arial Unicode MS"/>
          <w:sz w:val="20"/>
          <w:szCs w:val="20"/>
        </w:rPr>
        <w:t>pfälzischen Neumarkt sitzende Unternehmen seine führende Position ausbauen und in den nächsten Jahren erheblich mehr Umsatz generieren. Geplant ist</w:t>
      </w:r>
      <w:r w:rsidR="00F23619">
        <w:rPr>
          <w:rFonts w:ascii="Verdana" w:eastAsia="Arial Unicode MS" w:hAnsi="Verdana" w:cs="Arial Unicode MS"/>
          <w:sz w:val="20"/>
          <w:szCs w:val="20"/>
        </w:rPr>
        <w:t>, d</w:t>
      </w:r>
      <w:r w:rsidR="00F23619" w:rsidRPr="00CA6232">
        <w:rPr>
          <w:rFonts w:ascii="Verdana" w:eastAsia="Arial Unicode MS" w:hAnsi="Verdana" w:cs="Arial Unicode MS"/>
          <w:sz w:val="20"/>
          <w:szCs w:val="20"/>
        </w:rPr>
        <w:t xml:space="preserve">ie erst in 2013 aufgebaute Bionorica-Organisation in China </w:t>
      </w:r>
      <w:r w:rsidR="00F23619">
        <w:rPr>
          <w:rFonts w:ascii="Verdana" w:eastAsia="Arial Unicode MS" w:hAnsi="Verdana" w:cs="Arial Unicode MS"/>
          <w:sz w:val="20"/>
          <w:szCs w:val="20"/>
        </w:rPr>
        <w:t>zu</w:t>
      </w:r>
      <w:r w:rsidR="00F23619" w:rsidRPr="00CA6232">
        <w:rPr>
          <w:rFonts w:ascii="Verdana" w:eastAsia="Arial Unicode MS" w:hAnsi="Verdana" w:cs="Arial Unicode MS"/>
          <w:sz w:val="20"/>
          <w:szCs w:val="20"/>
        </w:rPr>
        <w:t xml:space="preserve"> vergrößer</w:t>
      </w:r>
      <w:r w:rsidR="00F23619">
        <w:rPr>
          <w:rFonts w:ascii="Verdana" w:eastAsia="Arial Unicode MS" w:hAnsi="Verdana" w:cs="Arial Unicode MS"/>
          <w:sz w:val="20"/>
          <w:szCs w:val="20"/>
        </w:rPr>
        <w:t>n.</w:t>
      </w:r>
      <w:r w:rsidRPr="00CA6232">
        <w:rPr>
          <w:rFonts w:ascii="Verdana" w:eastAsia="Arial Unicode MS" w:hAnsi="Verdana" w:cs="Arial Unicode MS"/>
          <w:sz w:val="20"/>
          <w:szCs w:val="20"/>
        </w:rPr>
        <w:t xml:space="preserve"> Darüber hinaus laufen Zulassungsverfahren für verschiedene Präparate auf europäischer Ebene.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>Die über eine Eigenkapital-Quote von fast 75% verfügende, und ihr organisches Wachstum eigenständig finanzierende Bionorica-Gruppe, wird auch in diesem Jahr in großem Umfang investieren, und wiederum mehr Mitarbeiter einstellen. Bionorica beschäftigte Ende 2013 knapp 1.340 Mitarbeiter, rund 13% mehr als im Jahr zuvor.</w:t>
      </w: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CA6232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  <w:r w:rsidRPr="00CA6232">
        <w:rPr>
          <w:rFonts w:ascii="Verdana" w:eastAsia="Arial Unicode MS" w:hAnsi="Verdana" w:cs="Arial Unicode MS"/>
          <w:sz w:val="20"/>
          <w:szCs w:val="20"/>
        </w:rPr>
        <w:t xml:space="preserve">Wie auch schon in den Jahren zuvor, war Bionorica 2014 offizieller Arzneimittel-Lieferant der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Deutschen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 xml:space="preserve"> Olympiamannschaft in </w:t>
      </w:r>
      <w:proofErr w:type="spellStart"/>
      <w:r w:rsidRPr="00CA6232">
        <w:rPr>
          <w:rFonts w:ascii="Verdana" w:eastAsia="Arial Unicode MS" w:hAnsi="Verdana" w:cs="Arial Unicode MS"/>
          <w:sz w:val="20"/>
          <w:szCs w:val="20"/>
        </w:rPr>
        <w:t>Sotschi</w:t>
      </w:r>
      <w:proofErr w:type="spellEnd"/>
      <w:r w:rsidRPr="00CA6232">
        <w:rPr>
          <w:rFonts w:ascii="Verdana" w:eastAsia="Arial Unicode MS" w:hAnsi="Verdana" w:cs="Arial Unicode MS"/>
          <w:sz w:val="20"/>
          <w:szCs w:val="20"/>
        </w:rPr>
        <w:t>.</w:t>
      </w:r>
    </w:p>
    <w:p w:rsidR="00AC4801" w:rsidRPr="00D671D2" w:rsidRDefault="00AC4801" w:rsidP="00AC4801">
      <w:pPr>
        <w:rPr>
          <w:rFonts w:ascii="Verdana" w:eastAsia="Arial Unicode MS" w:hAnsi="Verdana" w:cs="Arial Unicode MS"/>
          <w:sz w:val="16"/>
          <w:szCs w:val="16"/>
          <w:u w:val="single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 </w:t>
      </w:r>
      <w:r>
        <w:rPr>
          <w:rFonts w:ascii="Verdana" w:eastAsia="Arial Unicode MS" w:hAnsi="Verdana" w:cs="Arial Unicode MS"/>
          <w:sz w:val="18"/>
          <w:szCs w:val="18"/>
        </w:rPr>
        <w:br/>
      </w:r>
      <w:r w:rsidRPr="001F4078">
        <w:rPr>
          <w:rFonts w:ascii="Verdana" w:eastAsia="Arial Unicode MS" w:hAnsi="Verdana" w:cs="Arial Unicode MS"/>
          <w:sz w:val="18"/>
          <w:szCs w:val="18"/>
        </w:rPr>
        <w:br/>
      </w:r>
      <w:r w:rsidRPr="00D671D2">
        <w:rPr>
          <w:rFonts w:ascii="Verdana" w:eastAsia="Arial Unicode MS" w:hAnsi="Verdana" w:cs="Arial Unicode MS"/>
          <w:sz w:val="16"/>
          <w:szCs w:val="16"/>
          <w:u w:val="single"/>
        </w:rPr>
        <w:t>Quellen</w:t>
      </w:r>
    </w:p>
    <w:p w:rsidR="00AC4801" w:rsidRPr="002728D6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/>
          <w:iCs/>
          <w:sz w:val="16"/>
          <w:szCs w:val="16"/>
        </w:rPr>
      </w:pPr>
      <w:r w:rsidRPr="00504E33">
        <w:rPr>
          <w:rFonts w:ascii="Verdana" w:eastAsia="Arial Unicode MS" w:hAnsi="Verdana" w:cs="Arial Unicode MS"/>
          <w:sz w:val="20"/>
          <w:szCs w:val="20"/>
          <w:vertAlign w:val="superscript"/>
        </w:rPr>
        <w:t>(1)</w:t>
      </w:r>
      <w:r w:rsidRPr="002728D6">
        <w:rPr>
          <w:rFonts w:ascii="Verdana" w:eastAsia="Arial Unicode MS" w:hAnsi="Verdana" w:cs="Arial Unicode MS"/>
          <w:sz w:val="16"/>
          <w:szCs w:val="16"/>
        </w:rPr>
        <w:t xml:space="preserve"> SAP, ex </w:t>
      </w:r>
      <w:proofErr w:type="spellStart"/>
      <w:r w:rsidRPr="002728D6">
        <w:rPr>
          <w:rFonts w:ascii="Verdana" w:eastAsia="Arial Unicode MS" w:hAnsi="Verdana" w:cs="Arial Unicode MS"/>
          <w:sz w:val="16"/>
          <w:szCs w:val="16"/>
        </w:rPr>
        <w:t>factory</w:t>
      </w:r>
      <w:proofErr w:type="spellEnd"/>
      <w:r w:rsidRPr="002728D6">
        <w:rPr>
          <w:rFonts w:ascii="Verdana" w:eastAsia="Arial Unicode MS" w:hAnsi="Verdana" w:cs="Arial Unicode MS"/>
          <w:sz w:val="16"/>
          <w:szCs w:val="16"/>
        </w:rPr>
        <w:t>, Herstellerabgabepreis in Euro</w:t>
      </w:r>
    </w:p>
    <w:p w:rsidR="00AC4801" w:rsidRPr="003A1ABD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Cs/>
          <w:sz w:val="16"/>
          <w:szCs w:val="16"/>
        </w:rPr>
      </w:pPr>
      <w:r w:rsidRPr="00504E33">
        <w:rPr>
          <w:rFonts w:ascii="Verdana" w:eastAsia="Arial Unicode MS" w:hAnsi="Verdana" w:cs="Arial Unicode MS"/>
          <w:bCs/>
          <w:iCs/>
          <w:sz w:val="20"/>
          <w:szCs w:val="20"/>
          <w:vertAlign w:val="superscript"/>
        </w:rPr>
        <w:t>(2)</w:t>
      </w:r>
      <w:r>
        <w:rPr>
          <w:rFonts w:ascii="Verdana" w:eastAsia="Arial Unicode MS" w:hAnsi="Verdana" w:cs="Arial Unicode MS"/>
          <w:bCs/>
          <w:i/>
          <w:iCs/>
          <w:sz w:val="16"/>
          <w:szCs w:val="16"/>
        </w:rPr>
        <w:t xml:space="preserve"> </w:t>
      </w:r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 xml:space="preserve">OTC = </w:t>
      </w:r>
      <w:proofErr w:type="spellStart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>over</w:t>
      </w:r>
      <w:proofErr w:type="spellEnd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 xml:space="preserve"> </w:t>
      </w:r>
      <w:proofErr w:type="spellStart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>the</w:t>
      </w:r>
      <w:proofErr w:type="spellEnd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 xml:space="preserve"> </w:t>
      </w:r>
      <w:proofErr w:type="spellStart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>counter</w:t>
      </w:r>
      <w:proofErr w:type="spellEnd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 xml:space="preserve">, apothekenpflichtige, aber nicht verschreibungspflichtige Produkte, Quelle/Messung: Nielsen Trend Report </w:t>
      </w:r>
      <w:proofErr w:type="spellStart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>Pharma</w:t>
      </w:r>
      <w:proofErr w:type="spellEnd"/>
      <w:r w:rsidRPr="003A1ABD">
        <w:rPr>
          <w:rFonts w:ascii="Verdana" w:eastAsia="Arial Unicode MS" w:hAnsi="Verdana" w:cs="Arial Unicode MS"/>
          <w:bCs/>
          <w:iCs/>
          <w:sz w:val="16"/>
          <w:szCs w:val="16"/>
        </w:rPr>
        <w:t>, Dez. 2013</w:t>
      </w:r>
    </w:p>
    <w:p w:rsidR="00AC4801" w:rsidRPr="00CA6232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Cs/>
          <w:sz w:val="16"/>
          <w:szCs w:val="16"/>
          <w:lang w:val="en-US"/>
        </w:rPr>
      </w:pPr>
      <w:r w:rsidRPr="00CA6232">
        <w:rPr>
          <w:rFonts w:ascii="Verdana" w:eastAsia="Arial Unicode MS" w:hAnsi="Verdana" w:cs="Arial Unicode MS"/>
          <w:bCs/>
          <w:iCs/>
          <w:sz w:val="20"/>
          <w:szCs w:val="20"/>
          <w:vertAlign w:val="superscript"/>
          <w:lang w:val="en-US"/>
        </w:rPr>
        <w:t>(3)</w:t>
      </w:r>
      <w:r w:rsidRPr="00CA6232">
        <w:rPr>
          <w:rFonts w:ascii="Verdana" w:eastAsia="Arial Unicode MS" w:hAnsi="Verdana" w:cs="Arial Unicode MS"/>
          <w:bCs/>
          <w:iCs/>
          <w:sz w:val="16"/>
          <w:szCs w:val="16"/>
          <w:lang w:val="en-US"/>
        </w:rPr>
        <w:t xml:space="preserve"> </w:t>
      </w:r>
      <w:proofErr w:type="spellStart"/>
      <w:r w:rsidRPr="00CA6232">
        <w:rPr>
          <w:rFonts w:ascii="Verdana" w:eastAsia="Arial Unicode MS" w:hAnsi="Verdana" w:cs="Arial Unicode MS"/>
          <w:bCs/>
          <w:iCs/>
          <w:sz w:val="16"/>
          <w:szCs w:val="16"/>
          <w:lang w:val="en-US"/>
        </w:rPr>
        <w:t>Quelle</w:t>
      </w:r>
      <w:proofErr w:type="spellEnd"/>
      <w:r w:rsidRPr="00CA6232">
        <w:rPr>
          <w:rFonts w:ascii="Verdana" w:eastAsia="Arial Unicode MS" w:hAnsi="Verdana" w:cs="Arial Unicode MS"/>
          <w:bCs/>
          <w:iCs/>
          <w:sz w:val="16"/>
          <w:szCs w:val="16"/>
          <w:lang w:val="en-US"/>
        </w:rPr>
        <w:t>: IMS OTC Herbal Database, 2012</w:t>
      </w:r>
    </w:p>
    <w:p w:rsidR="00AC4801" w:rsidRPr="003A1ABD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Cs/>
          <w:sz w:val="16"/>
          <w:szCs w:val="16"/>
        </w:rPr>
      </w:pPr>
      <w:r w:rsidRPr="00504E33">
        <w:rPr>
          <w:rFonts w:ascii="Verdana" w:eastAsia="Arial Unicode MS" w:hAnsi="Verdana" w:cs="Arial Unicode MS"/>
          <w:sz w:val="20"/>
          <w:szCs w:val="20"/>
          <w:vertAlign w:val="superscript"/>
        </w:rPr>
        <w:t>(4)</w:t>
      </w:r>
      <w:r>
        <w:rPr>
          <w:rFonts w:ascii="Verdana" w:eastAsia="Arial Unicode MS" w:hAnsi="Verdana" w:cs="Arial Unicode MS"/>
          <w:sz w:val="16"/>
          <w:szCs w:val="16"/>
        </w:rPr>
        <w:t xml:space="preserve"> Quelle: Insight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Health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 xml:space="preserve"> NPI, Apothekeneinkauf zu Herstellerabgabepreisen</w:t>
      </w:r>
    </w:p>
    <w:p w:rsidR="00AC4801" w:rsidRPr="00D9539B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/>
          <w:iCs/>
          <w:sz w:val="16"/>
          <w:szCs w:val="16"/>
        </w:rPr>
      </w:pPr>
      <w:r w:rsidRPr="00504E33">
        <w:rPr>
          <w:rFonts w:ascii="Verdana" w:eastAsia="Arial Unicode MS" w:hAnsi="Verdana" w:cs="Arial Unicode MS"/>
          <w:sz w:val="20"/>
          <w:szCs w:val="20"/>
          <w:vertAlign w:val="superscript"/>
        </w:rPr>
        <w:t>(5)</w:t>
      </w:r>
      <w:r>
        <w:rPr>
          <w:rFonts w:ascii="Verdana" w:eastAsia="Arial Unicode MS" w:hAnsi="Verdana" w:cs="Arial Unicode MS"/>
          <w:sz w:val="16"/>
          <w:szCs w:val="16"/>
        </w:rPr>
        <w:t xml:space="preserve"> Quelle : Insight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Health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 xml:space="preserve"> NPI, Apothekeneinkauf zu Herstellerabgabepreisen </w:t>
      </w:r>
    </w:p>
    <w:p w:rsidR="00AC4801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/>
          <w:iCs/>
          <w:sz w:val="16"/>
          <w:szCs w:val="16"/>
        </w:rPr>
      </w:pPr>
      <w:r w:rsidRPr="00CA6232">
        <w:rPr>
          <w:rFonts w:ascii="Verdana" w:eastAsia="Arial Unicode MS" w:hAnsi="Verdana" w:cs="Arial Unicode MS"/>
          <w:sz w:val="20"/>
          <w:szCs w:val="20"/>
          <w:vertAlign w:val="superscript"/>
          <w:lang w:val="en-US"/>
        </w:rPr>
        <w:t>(6)</w:t>
      </w:r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 xml:space="preserve"> </w:t>
      </w:r>
      <w:proofErr w:type="spellStart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>Quelle</w:t>
      </w:r>
      <w:proofErr w:type="spellEnd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 xml:space="preserve">: SAP, </w:t>
      </w:r>
      <w:proofErr w:type="spellStart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>ex factory</w:t>
      </w:r>
      <w:proofErr w:type="spellEnd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 xml:space="preserve"> in Units, </w:t>
      </w:r>
      <w:proofErr w:type="spellStart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>Russland</w:t>
      </w:r>
      <w:proofErr w:type="spellEnd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 xml:space="preserve"> + 11</w:t>
      </w:r>
      <w:proofErr w:type="gramStart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>,6</w:t>
      </w:r>
      <w:proofErr w:type="gramEnd"/>
      <w:r w:rsidRPr="00CA6232">
        <w:rPr>
          <w:rFonts w:ascii="Verdana" w:eastAsia="Arial Unicode MS" w:hAnsi="Verdana" w:cs="Arial Unicode MS"/>
          <w:sz w:val="16"/>
          <w:szCs w:val="16"/>
          <w:lang w:val="en-US"/>
        </w:rPr>
        <w:t xml:space="preserve">%. </w:t>
      </w:r>
      <w:r>
        <w:rPr>
          <w:rFonts w:ascii="Verdana" w:eastAsia="Arial Unicode MS" w:hAnsi="Verdana" w:cs="Arial Unicode MS"/>
          <w:sz w:val="16"/>
          <w:szCs w:val="16"/>
        </w:rPr>
        <w:t xml:space="preserve">Kasachstan +37,7%, Belarus + 40%, </w:t>
      </w:r>
      <w:r>
        <w:rPr>
          <w:rFonts w:ascii="Verdana" w:eastAsia="Arial Unicode MS" w:hAnsi="Verdana" w:cs="Arial Unicode MS"/>
          <w:sz w:val="16"/>
          <w:szCs w:val="16"/>
        </w:rPr>
        <w:br/>
        <w:t>China + 420,8%</w:t>
      </w:r>
    </w:p>
    <w:p w:rsidR="00AC4801" w:rsidRPr="00834DE8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/>
          <w:iCs/>
          <w:sz w:val="16"/>
          <w:szCs w:val="16"/>
        </w:rPr>
      </w:pPr>
      <w:r w:rsidRPr="00504E33">
        <w:rPr>
          <w:rFonts w:ascii="Verdana" w:eastAsia="Arial Unicode MS" w:hAnsi="Verdana" w:cs="Arial Unicode MS"/>
          <w:sz w:val="20"/>
          <w:szCs w:val="20"/>
          <w:vertAlign w:val="superscript"/>
        </w:rPr>
        <w:t>(7)</w:t>
      </w:r>
      <w:r>
        <w:rPr>
          <w:rFonts w:ascii="Verdana" w:eastAsia="Arial Unicode MS" w:hAnsi="Verdana" w:cs="Arial Unicode MS"/>
          <w:sz w:val="16"/>
          <w:szCs w:val="16"/>
        </w:rPr>
        <w:t xml:space="preserve"> ADSI, Austrian Drug Screening Institute, Innsbruck, Österreich</w:t>
      </w:r>
    </w:p>
    <w:p w:rsidR="00AC4801" w:rsidRPr="002728D6" w:rsidRDefault="00AC4801" w:rsidP="00AC4801">
      <w:pPr>
        <w:numPr>
          <w:ilvl w:val="0"/>
          <w:numId w:val="2"/>
        </w:numPr>
        <w:rPr>
          <w:rFonts w:ascii="Verdana" w:eastAsia="Arial Unicode MS" w:hAnsi="Verdana" w:cs="Arial Unicode MS"/>
          <w:bCs/>
          <w:i/>
          <w:iCs/>
          <w:sz w:val="16"/>
          <w:szCs w:val="16"/>
        </w:rPr>
      </w:pPr>
      <w:r w:rsidRPr="00376320">
        <w:rPr>
          <w:rFonts w:ascii="Verdana" w:eastAsia="Arial Unicode MS" w:hAnsi="Verdana" w:cs="Arial Unicode MS"/>
          <w:sz w:val="20"/>
          <w:szCs w:val="20"/>
          <w:vertAlign w:val="superscript"/>
        </w:rPr>
        <w:t>(</w:t>
      </w:r>
      <w:r w:rsidR="00465FEA">
        <w:rPr>
          <w:rFonts w:ascii="Verdana" w:eastAsia="Arial Unicode MS" w:hAnsi="Verdana" w:cs="Arial Unicode MS"/>
          <w:sz w:val="20"/>
          <w:szCs w:val="20"/>
          <w:vertAlign w:val="superscript"/>
        </w:rPr>
        <w:t>8</w:t>
      </w:r>
      <w:r w:rsidRPr="00376320">
        <w:rPr>
          <w:rFonts w:ascii="Verdana" w:eastAsia="Arial Unicode MS" w:hAnsi="Verdana" w:cs="Arial Unicode MS"/>
          <w:sz w:val="20"/>
          <w:szCs w:val="20"/>
          <w:vertAlign w:val="superscript"/>
        </w:rPr>
        <w:t>)</w:t>
      </w:r>
      <w:r>
        <w:rPr>
          <w:rFonts w:ascii="Verdana" w:eastAsia="Arial Unicode MS" w:hAnsi="Verdana" w:cs="Arial Unicode MS"/>
          <w:sz w:val="20"/>
          <w:szCs w:val="20"/>
          <w:vertAlign w:val="superscript"/>
        </w:rPr>
        <w:t xml:space="preserve"> </w:t>
      </w:r>
      <w:r w:rsidRPr="00BB1772">
        <w:rPr>
          <w:rFonts w:ascii="Verdana" w:hAnsi="Verdana"/>
          <w:sz w:val="16"/>
          <w:szCs w:val="16"/>
        </w:rPr>
        <w:t>720 mg eingesetzte Pflanzenmischung in Sinupret</w:t>
      </w:r>
      <w:r w:rsidRPr="00BB1772">
        <w:rPr>
          <w:rFonts w:ascii="Verdana" w:hAnsi="Verdana"/>
          <w:sz w:val="16"/>
          <w:szCs w:val="16"/>
          <w:vertAlign w:val="superscript"/>
        </w:rPr>
        <w:t>®</w:t>
      </w:r>
      <w:r w:rsidRPr="00BB1772">
        <w:rPr>
          <w:rFonts w:ascii="Verdana" w:hAnsi="Verdana"/>
          <w:sz w:val="16"/>
          <w:szCs w:val="16"/>
        </w:rPr>
        <w:t xml:space="preserve"> </w:t>
      </w:r>
      <w:proofErr w:type="spellStart"/>
      <w:r w:rsidRPr="00BB1772">
        <w:rPr>
          <w:rFonts w:ascii="Verdana" w:hAnsi="Verdana"/>
          <w:sz w:val="16"/>
          <w:szCs w:val="16"/>
        </w:rPr>
        <w:t>extract</w:t>
      </w:r>
      <w:proofErr w:type="spellEnd"/>
      <w:r w:rsidRPr="00BB1772">
        <w:rPr>
          <w:rFonts w:ascii="Verdana" w:hAnsi="Verdana"/>
          <w:sz w:val="16"/>
          <w:szCs w:val="16"/>
        </w:rPr>
        <w:t xml:space="preserve"> (entspricht 160mg Trockene</w:t>
      </w:r>
      <w:r w:rsidRPr="002E120B">
        <w:rPr>
          <w:rFonts w:ascii="Verdana" w:hAnsi="Verdana"/>
          <w:sz w:val="16"/>
          <w:szCs w:val="16"/>
        </w:rPr>
        <w:t xml:space="preserve">xtrakt) im Vergleich zu 156 mg </w:t>
      </w:r>
      <w:r w:rsidRPr="00BB1772">
        <w:rPr>
          <w:rFonts w:ascii="Verdana" w:hAnsi="Verdana"/>
          <w:sz w:val="16"/>
          <w:szCs w:val="16"/>
        </w:rPr>
        <w:t>Pflanzenmischung in Sinupret</w:t>
      </w:r>
      <w:r w:rsidRPr="00BB1772">
        <w:rPr>
          <w:rFonts w:ascii="Verdana" w:hAnsi="Verdana"/>
          <w:sz w:val="16"/>
          <w:szCs w:val="16"/>
          <w:vertAlign w:val="superscript"/>
        </w:rPr>
        <w:t>®</w:t>
      </w:r>
      <w:r w:rsidRPr="00BB1772">
        <w:rPr>
          <w:rFonts w:ascii="Verdana" w:hAnsi="Verdana"/>
          <w:sz w:val="16"/>
          <w:szCs w:val="16"/>
        </w:rPr>
        <w:t xml:space="preserve"> forte. </w:t>
      </w:r>
      <w:r w:rsidRPr="002E120B">
        <w:rPr>
          <w:rFonts w:ascii="Verdana" w:hAnsi="Verdana"/>
          <w:sz w:val="16"/>
          <w:szCs w:val="16"/>
        </w:rPr>
        <w:t>Eine vierfache Konzentration der eingesetzten Pflanzenmischung ist nicht gleichzusetzen mit einer vierfachen Wirksamkeit</w:t>
      </w:r>
    </w:p>
    <w:p w:rsidR="00AC4801" w:rsidRDefault="00AC4801" w:rsidP="00AC4801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AC4801" w:rsidRDefault="00AC4801" w:rsidP="00AC4801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9A6253" w:rsidRPr="009A6253" w:rsidRDefault="009A6253" w:rsidP="009A6253">
      <w:pPr>
        <w:rPr>
          <w:rFonts w:ascii="Verdana" w:eastAsia="Arial Unicode MS" w:hAnsi="Verdana" w:cs="Arial Unicode MS"/>
          <w:sz w:val="20"/>
          <w:szCs w:val="20"/>
        </w:rPr>
      </w:pPr>
      <w:r w:rsidRPr="009A6253">
        <w:rPr>
          <w:rFonts w:ascii="Verdana" w:eastAsia="Arial Unicode MS" w:hAnsi="Verdana" w:cs="Arial Unicode MS"/>
          <w:b/>
          <w:sz w:val="20"/>
          <w:szCs w:val="20"/>
        </w:rPr>
        <w:t>Medienkontakt:</w:t>
      </w:r>
      <w:r w:rsidRPr="009A6253">
        <w:rPr>
          <w:rFonts w:ascii="Verdana" w:eastAsia="Arial Unicode MS" w:hAnsi="Verdana" w:cs="Arial Unicode MS"/>
          <w:b/>
          <w:sz w:val="20"/>
          <w:szCs w:val="20"/>
        </w:rPr>
        <w:br/>
      </w:r>
      <w:r w:rsidRPr="009A6253">
        <w:rPr>
          <w:rFonts w:ascii="Verdana" w:eastAsia="Arial Unicode MS" w:hAnsi="Verdana" w:cs="Arial Unicode MS"/>
          <w:sz w:val="20"/>
          <w:szCs w:val="20"/>
        </w:rPr>
        <w:t>Thomas Eibenberger</w:t>
      </w:r>
    </w:p>
    <w:p w:rsidR="009A6253" w:rsidRPr="009A6253" w:rsidRDefault="009A6253" w:rsidP="009A6253">
      <w:pPr>
        <w:rPr>
          <w:rFonts w:ascii="Verdana" w:eastAsia="Arial Unicode MS" w:hAnsi="Verdana" w:cs="Arial Unicode MS"/>
          <w:sz w:val="20"/>
          <w:szCs w:val="20"/>
        </w:rPr>
      </w:pPr>
      <w:r w:rsidRPr="009A6253">
        <w:rPr>
          <w:rFonts w:ascii="Verdana" w:eastAsia="Arial Unicode MS" w:hAnsi="Verdana" w:cs="Arial Unicode MS"/>
          <w:sz w:val="20"/>
          <w:szCs w:val="20"/>
        </w:rPr>
        <w:t>Senior Referent Unternehmenskommunikation</w:t>
      </w:r>
      <w:r w:rsidRPr="009A6253">
        <w:rPr>
          <w:rFonts w:ascii="Verdana" w:eastAsia="Arial Unicode MS" w:hAnsi="Verdana" w:cs="Arial Unicode MS"/>
          <w:sz w:val="20"/>
          <w:szCs w:val="20"/>
        </w:rPr>
        <w:br/>
        <w:t>Tel.: +49 9181 231-450</w:t>
      </w:r>
    </w:p>
    <w:p w:rsidR="00AC4801" w:rsidRDefault="009A6253" w:rsidP="009A6253">
      <w:pPr>
        <w:rPr>
          <w:rFonts w:ascii="Verdana" w:eastAsia="Arial Unicode MS" w:hAnsi="Verdana" w:cs="Arial Unicode MS"/>
          <w:sz w:val="20"/>
          <w:szCs w:val="20"/>
        </w:rPr>
      </w:pPr>
      <w:hyperlink r:id="rId8" w:history="1">
        <w:r w:rsidRPr="009A6253">
          <w:rPr>
            <w:rFonts w:ascii="Verdana" w:eastAsia="Arial Unicode MS" w:hAnsi="Verdana" w:cs="Arial Unicode MS"/>
            <w:sz w:val="20"/>
            <w:szCs w:val="20"/>
          </w:rPr>
          <w:t>thomas.eibenberger@bionorica.de</w:t>
        </w:r>
      </w:hyperlink>
    </w:p>
    <w:p w:rsidR="009A6253" w:rsidRPr="009A6253" w:rsidRDefault="009A6253" w:rsidP="009A6253">
      <w:pPr>
        <w:rPr>
          <w:rFonts w:ascii="Verdana" w:eastAsia="Arial Unicode MS" w:hAnsi="Verdana" w:cs="Arial Unicode MS"/>
          <w:sz w:val="20"/>
          <w:szCs w:val="20"/>
        </w:rPr>
      </w:pPr>
    </w:p>
    <w:p w:rsidR="00AC4801" w:rsidRPr="009A6253" w:rsidRDefault="00AC4801" w:rsidP="00AC4801">
      <w:pPr>
        <w:rPr>
          <w:rFonts w:ascii="Verdana" w:eastAsia="Arial Unicode MS" w:hAnsi="Verdana" w:cs="Arial Unicode MS"/>
          <w:sz w:val="20"/>
          <w:szCs w:val="20"/>
        </w:rPr>
      </w:pPr>
    </w:p>
    <w:p w:rsidR="0029146C" w:rsidRPr="00AC4801" w:rsidRDefault="0029146C" w:rsidP="00AC4801"/>
    <w:sectPr w:rsidR="0029146C" w:rsidRPr="00AC4801" w:rsidSect="00AC48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7A" w:rsidRDefault="0066007A" w:rsidP="007B5A7E">
      <w:r>
        <w:separator/>
      </w:r>
    </w:p>
  </w:endnote>
  <w:endnote w:type="continuationSeparator" w:id="0">
    <w:p w:rsidR="0066007A" w:rsidRDefault="0066007A" w:rsidP="007B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CE1A5D" w:rsidRDefault="006F241D" w:rsidP="001625E6">
    <w:pPr>
      <w:pStyle w:val="Fuzeile"/>
      <w:jc w:val="center"/>
      <w:rPr>
        <w:rFonts w:ascii="Verdana" w:hAnsi="Verdana"/>
        <w:sz w:val="18"/>
        <w:szCs w:val="18"/>
      </w:rPr>
    </w:pPr>
    <w:r w:rsidRPr="00CE1A5D">
      <w:rPr>
        <w:rFonts w:ascii="Verdana" w:hAnsi="Verdana"/>
        <w:sz w:val="18"/>
        <w:szCs w:val="18"/>
      </w:rPr>
      <w:t xml:space="preserve">- </w:t>
    </w:r>
    <w:r w:rsidRPr="00CE1A5D">
      <w:rPr>
        <w:rFonts w:ascii="Verdana" w:hAnsi="Verdana"/>
        <w:sz w:val="18"/>
        <w:szCs w:val="18"/>
      </w:rPr>
      <w:fldChar w:fldCharType="begin"/>
    </w:r>
    <w:r w:rsidRPr="00CE1A5D">
      <w:rPr>
        <w:rFonts w:ascii="Verdana" w:hAnsi="Verdana"/>
        <w:sz w:val="18"/>
        <w:szCs w:val="18"/>
      </w:rPr>
      <w:instrText xml:space="preserve"> PAGE   \* MERGEFORMAT </w:instrText>
    </w:r>
    <w:r w:rsidRPr="00CE1A5D">
      <w:rPr>
        <w:rFonts w:ascii="Verdana" w:hAnsi="Verdana"/>
        <w:sz w:val="18"/>
        <w:szCs w:val="18"/>
      </w:rPr>
      <w:fldChar w:fldCharType="separate"/>
    </w:r>
    <w:r w:rsidR="009A6253">
      <w:rPr>
        <w:rFonts w:ascii="Verdana" w:hAnsi="Verdana"/>
        <w:noProof/>
        <w:sz w:val="18"/>
        <w:szCs w:val="18"/>
      </w:rPr>
      <w:t>2</w:t>
    </w:r>
    <w:r w:rsidRPr="00CE1A5D">
      <w:rPr>
        <w:rFonts w:ascii="Verdana" w:hAnsi="Verdana"/>
        <w:sz w:val="18"/>
        <w:szCs w:val="18"/>
      </w:rPr>
      <w:fldChar w:fldCharType="end"/>
    </w:r>
    <w:r w:rsidRPr="00CE1A5D">
      <w:rPr>
        <w:rFonts w:ascii="Verdana" w:hAnsi="Verdan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CE1A5D" w:rsidRDefault="006F241D">
    <w:pPr>
      <w:pStyle w:val="Fuzeile"/>
      <w:rPr>
        <w:rFonts w:ascii="Verdana" w:hAnsi="Verdana"/>
        <w:sz w:val="18"/>
        <w:szCs w:val="18"/>
      </w:rPr>
    </w:pPr>
    <w:r>
      <w:tab/>
    </w:r>
    <w:r>
      <w:tab/>
    </w:r>
    <w:r w:rsidRPr="00CE1A5D">
      <w:rPr>
        <w:rFonts w:ascii="Verdana" w:hAnsi="Verdana"/>
        <w:sz w:val="18"/>
        <w:szCs w:val="18"/>
      </w:rPr>
      <w:t>/..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7A" w:rsidRDefault="0066007A" w:rsidP="007B5A7E">
      <w:r>
        <w:separator/>
      </w:r>
    </w:p>
  </w:footnote>
  <w:footnote w:type="continuationSeparator" w:id="0">
    <w:p w:rsidR="0066007A" w:rsidRDefault="0066007A" w:rsidP="007B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Default="006F241D">
    <w:pPr>
      <w:pStyle w:val="Kopfzeile"/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6660" cy="1294765"/>
          <wp:effectExtent l="0" t="0" r="0" b="635"/>
          <wp:wrapTight wrapText="bothSides">
            <wp:wrapPolygon edited="0">
              <wp:start x="0" y="0"/>
              <wp:lineTo x="0" y="21293"/>
              <wp:lineTo x="21535" y="21293"/>
              <wp:lineTo x="21535" y="0"/>
              <wp:lineTo x="0" y="0"/>
            </wp:wrapPolygon>
          </wp:wrapTight>
          <wp:docPr id="2" name="Grafik 2" descr="DD-Bionorica BP Standard Kopfzeile2-16.06.10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D-Bionorica BP Standard Kopfzeile2-16.06.10-J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46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Default="006F241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-297815</wp:posOffset>
          </wp:positionV>
          <wp:extent cx="7566660" cy="1294765"/>
          <wp:effectExtent l="0" t="0" r="0" b="635"/>
          <wp:wrapTight wrapText="bothSides">
            <wp:wrapPolygon edited="0">
              <wp:start x="0" y="0"/>
              <wp:lineTo x="0" y="21293"/>
              <wp:lineTo x="21535" y="21293"/>
              <wp:lineTo x="21535" y="0"/>
              <wp:lineTo x="0" y="0"/>
            </wp:wrapPolygon>
          </wp:wrapTight>
          <wp:docPr id="3" name="Grafik 2" descr="DD-Bionorica BP Standard Kopfzeile2-16.06.10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D-Bionorica BP Standard Kopfzeile2-16.06.10-J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46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750"/>
    <w:multiLevelType w:val="hybridMultilevel"/>
    <w:tmpl w:val="57083746"/>
    <w:lvl w:ilvl="0" w:tplc="8754319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A058C"/>
    <w:multiLevelType w:val="hybridMultilevel"/>
    <w:tmpl w:val="A754CDE2"/>
    <w:lvl w:ilvl="0" w:tplc="B1AC7EE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6F"/>
    <w:rsid w:val="00026136"/>
    <w:rsid w:val="00036F56"/>
    <w:rsid w:val="000C2538"/>
    <w:rsid w:val="001166E7"/>
    <w:rsid w:val="00152F54"/>
    <w:rsid w:val="00157D44"/>
    <w:rsid w:val="001625E6"/>
    <w:rsid w:val="001C77B9"/>
    <w:rsid w:val="002372BB"/>
    <w:rsid w:val="002638CD"/>
    <w:rsid w:val="0029146C"/>
    <w:rsid w:val="002B63D9"/>
    <w:rsid w:val="002F72A5"/>
    <w:rsid w:val="0032575C"/>
    <w:rsid w:val="003523E4"/>
    <w:rsid w:val="00395874"/>
    <w:rsid w:val="003B623E"/>
    <w:rsid w:val="003C1CB7"/>
    <w:rsid w:val="004400BB"/>
    <w:rsid w:val="00450329"/>
    <w:rsid w:val="00452D8E"/>
    <w:rsid w:val="00465FEA"/>
    <w:rsid w:val="004C1B7E"/>
    <w:rsid w:val="004F3B2A"/>
    <w:rsid w:val="00513353"/>
    <w:rsid w:val="00560B20"/>
    <w:rsid w:val="0057248F"/>
    <w:rsid w:val="005757CD"/>
    <w:rsid w:val="00576A0E"/>
    <w:rsid w:val="005A29B3"/>
    <w:rsid w:val="005B403A"/>
    <w:rsid w:val="005D296F"/>
    <w:rsid w:val="005F6B54"/>
    <w:rsid w:val="006345F7"/>
    <w:rsid w:val="0064700C"/>
    <w:rsid w:val="0066007A"/>
    <w:rsid w:val="00662423"/>
    <w:rsid w:val="006648E7"/>
    <w:rsid w:val="006D2085"/>
    <w:rsid w:val="006F241D"/>
    <w:rsid w:val="00737997"/>
    <w:rsid w:val="0075232F"/>
    <w:rsid w:val="00766AE3"/>
    <w:rsid w:val="007B5A7E"/>
    <w:rsid w:val="007D1D03"/>
    <w:rsid w:val="007D4A95"/>
    <w:rsid w:val="007F383A"/>
    <w:rsid w:val="00834FAD"/>
    <w:rsid w:val="00882B45"/>
    <w:rsid w:val="008B2C27"/>
    <w:rsid w:val="009A6253"/>
    <w:rsid w:val="009E4091"/>
    <w:rsid w:val="009E7558"/>
    <w:rsid w:val="009F0B60"/>
    <w:rsid w:val="009F1F7C"/>
    <w:rsid w:val="009F7EFC"/>
    <w:rsid w:val="00A259E8"/>
    <w:rsid w:val="00A47771"/>
    <w:rsid w:val="00A47BF2"/>
    <w:rsid w:val="00AB037D"/>
    <w:rsid w:val="00AC4801"/>
    <w:rsid w:val="00B05BB4"/>
    <w:rsid w:val="00B46EE2"/>
    <w:rsid w:val="00BF2CE2"/>
    <w:rsid w:val="00C44E0A"/>
    <w:rsid w:val="00C758E3"/>
    <w:rsid w:val="00CD437E"/>
    <w:rsid w:val="00CE1A5D"/>
    <w:rsid w:val="00CF0C7E"/>
    <w:rsid w:val="00D21FFD"/>
    <w:rsid w:val="00D3186F"/>
    <w:rsid w:val="00DA1740"/>
    <w:rsid w:val="00DB27FB"/>
    <w:rsid w:val="00E15339"/>
    <w:rsid w:val="00E92228"/>
    <w:rsid w:val="00EB40E8"/>
    <w:rsid w:val="00F23619"/>
    <w:rsid w:val="00FD64BA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96F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5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5A7E"/>
  </w:style>
  <w:style w:type="paragraph" w:styleId="Fuzeile">
    <w:name w:val="footer"/>
    <w:basedOn w:val="Standard"/>
    <w:link w:val="Fu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A7E"/>
  </w:style>
  <w:style w:type="character" w:styleId="Hyperlink">
    <w:name w:val="Hyperlink"/>
    <w:rsid w:val="005D296F"/>
    <w:rPr>
      <w:color w:val="243A90"/>
      <w:u w:val="single"/>
    </w:rPr>
  </w:style>
  <w:style w:type="character" w:styleId="Kommentarzeichen">
    <w:name w:val="annotation reference"/>
    <w:uiPriority w:val="99"/>
    <w:semiHidden/>
    <w:unhideWhenUsed/>
    <w:rsid w:val="00AC4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C4801"/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4801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C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F0C7E"/>
    <w:rPr>
      <w:rFonts w:ascii="Times New Roman" w:eastAsia="Times New Roman" w:hAnsi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9A6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96F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5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5A7E"/>
  </w:style>
  <w:style w:type="paragraph" w:styleId="Fuzeile">
    <w:name w:val="footer"/>
    <w:basedOn w:val="Standard"/>
    <w:link w:val="Fu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A7E"/>
  </w:style>
  <w:style w:type="character" w:styleId="Hyperlink">
    <w:name w:val="Hyperlink"/>
    <w:rsid w:val="005D296F"/>
    <w:rPr>
      <w:color w:val="243A90"/>
      <w:u w:val="single"/>
    </w:rPr>
  </w:style>
  <w:style w:type="character" w:styleId="Kommentarzeichen">
    <w:name w:val="annotation reference"/>
    <w:uiPriority w:val="99"/>
    <w:semiHidden/>
    <w:unhideWhenUsed/>
    <w:rsid w:val="00AC4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C4801"/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4801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C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F0C7E"/>
    <w:rPr>
      <w:rFonts w:ascii="Times New Roman" w:eastAsia="Times New Roman" w:hAnsi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9A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eibenberger@bionoric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Bionorica_Markenauftritt_ab_2010\Briefpapier\Brief%20elektr.%20Seite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elektr. Seite 2</Template>
  <TotalTime>0</TotalTime>
  <Pages>2</Pages>
  <Words>879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Bionorica SE</Company>
  <LinksUpToDate>false</LinksUpToDate>
  <CharactersWithSpaces>6408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mailto:sabine.kohl@bionorica.de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hrabcik</dc:creator>
  <cp:lastModifiedBy>Eibenberger, Thomas</cp:lastModifiedBy>
  <cp:revision>2</cp:revision>
  <cp:lastPrinted>2014-03-07T07:41:00Z</cp:lastPrinted>
  <dcterms:created xsi:type="dcterms:W3CDTF">2014-11-03T07:55:00Z</dcterms:created>
  <dcterms:modified xsi:type="dcterms:W3CDTF">2014-11-03T07:55:00Z</dcterms:modified>
</cp:coreProperties>
</file>